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82E" w:rsidRPr="0074477C" w:rsidRDefault="00A8682E" w:rsidP="00A8682E">
      <w:pPr>
        <w:pStyle w:val="BKT1"/>
        <w:rPr>
          <w:color w:val="FF0000"/>
          <w:lang w:val="vi-VN"/>
        </w:rPr>
      </w:pPr>
      <w:r w:rsidRPr="0074477C">
        <w:rPr>
          <w:lang w:val="vi-VN"/>
        </w:rPr>
        <w:t>Y HỌC DÂN GIAN</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 xml:space="preserve">sự tổng hợp các kiến thức, kỹ năng và thực hành dựa trên các lý thuyết, tín ngưỡng và kinh nghiệm bản địa được sử dụng trong việc duy trì sức khỏe cũng như trong phòng ngừa, chẩn đoán, cải thiện hoặc điều trị bệnh tật về thể chất và tinh thần. YHDG còn được gọi là Y học cổ truyền hay Y học bản địa. Theo một cách quan niệm khác, YHDG được xem là </w:t>
      </w:r>
      <w:r w:rsidRPr="00B47DCC">
        <w:rPr>
          <w:color w:val="202122"/>
          <w:sz w:val="28"/>
          <w:szCs w:val="28"/>
          <w:shd w:val="clear" w:color="auto" w:fill="FFFFFF"/>
          <w:lang w:val="vi-VN"/>
        </w:rPr>
        <w:t xml:space="preserve">các phương pháp chữa bệnh, các ý tưởng về sinh lý cơ thể và bảo vệ sức khỏe được một số người biết đến trong một nền văn hóa, được truyền tải một cách không chính thức dưới dạng kiến ​​thức chung và được thực hành hoặc áp dụng bởi bất kỳ ai có kinh nghiệm trong nền văn hóa đó. </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 xml:space="preserve">YHDG mặc dù được nhìn nhận là tiền đề, nền tảng cho nền y học mang tính khoa học, song Tổ chức Y tế thế giới lưu ý rằng </w:t>
      </w:r>
      <w:r w:rsidRPr="00B47DCC">
        <w:rPr>
          <w:color w:val="202122"/>
          <w:sz w:val="28"/>
          <w:szCs w:val="28"/>
          <w:shd w:val="clear" w:color="auto" w:fill="FFFFFF"/>
          <w:lang w:val="vi-VN"/>
        </w:rPr>
        <w:t>việc sử dụng thuốc hoặc thực hành truyền thống không phù hợp có thể có tác dụng tiêu cực và cần nghiên cứu thêm để xác định tính khả thi của một số phương pháp và loại thuốc được sử dụng bởi các hệ thống YHDG.</w:t>
      </w:r>
      <w:r w:rsidRPr="00B47DCC">
        <w:rPr>
          <w:sz w:val="28"/>
          <w:szCs w:val="28"/>
          <w:lang w:val="vi-VN"/>
        </w:rPr>
        <w:t xml:space="preserve"> </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 xml:space="preserve">Các nội dung của YHDG bao gồm dược liệu, y học dự phòng, </w:t>
      </w:r>
      <w:r w:rsidRPr="00B47DCC">
        <w:rPr>
          <w:sz w:val="28"/>
          <w:szCs w:val="28"/>
        </w:rPr>
        <w:t xml:space="preserve">liệu pháp </w:t>
      </w:r>
      <w:r w:rsidRPr="00B47DCC">
        <w:rPr>
          <w:sz w:val="28"/>
          <w:szCs w:val="28"/>
          <w:lang w:val="vi-VN"/>
        </w:rPr>
        <w:t>tâm lý, phương pháp điều trị không dùng thuốc, trị liệu bằng tác nhân vật lý, dưỡng sinh, phục hồi chức năng, nắn bó xương khớp…</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Ra đời và tích lũy dựa trên hệ thống các kinh nghiệm lâu đời, YHDG có vai trò to lớn trong đời sống của nhiều cộng đồng và vẫn tiếp tục</w:t>
      </w:r>
      <w:r w:rsidRPr="00B47DCC">
        <w:rPr>
          <w:sz w:val="28"/>
          <w:szCs w:val="28"/>
        </w:rPr>
        <w:t xml:space="preserve"> phát huy</w:t>
      </w:r>
      <w:r w:rsidRPr="00B47DCC">
        <w:rPr>
          <w:sz w:val="28"/>
          <w:szCs w:val="28"/>
          <w:lang w:val="vi-VN"/>
        </w:rPr>
        <w:t xml:space="preserve"> kể cả trong xã hội đương đại. </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 xml:space="preserve">Trước khi được ghi chép lại, YHDG nói chung được truyền miệng thông qua một hoặc </w:t>
      </w:r>
      <w:r w:rsidRPr="00B47DCC">
        <w:rPr>
          <w:sz w:val="28"/>
          <w:szCs w:val="28"/>
        </w:rPr>
        <w:t xml:space="preserve">nhiều </w:t>
      </w:r>
      <w:r w:rsidRPr="00B47DCC">
        <w:rPr>
          <w:sz w:val="28"/>
          <w:szCs w:val="28"/>
          <w:lang w:val="vi-VN"/>
        </w:rPr>
        <w:t xml:space="preserve">người. Trong một nền văn hóa nhất định, các yếu tố của kiến​​ thức y học bản địa có thể được nhiều người biết đến hoặc có thể được </w:t>
      </w:r>
      <w:r w:rsidRPr="00B47DCC">
        <w:rPr>
          <w:sz w:val="28"/>
          <w:szCs w:val="28"/>
        </w:rPr>
        <w:t xml:space="preserve">trao truyền, học hỏi </w:t>
      </w:r>
      <w:r w:rsidRPr="00B47DCC">
        <w:rPr>
          <w:sz w:val="28"/>
          <w:szCs w:val="28"/>
          <w:lang w:val="vi-VN"/>
        </w:rPr>
        <w:t>và áp dụng bởi những người chuyên chữa bệnh, chẳng hạn như thầy cúng hoặc bà đỡ. Có nhiều yếu tố góp phần chính danh hóa vai trò của người chữa bệnh, trong đó nổi bật là kiến thức, năng lực, sự tự tin, hiệu quả hay sự thành công trong công việc của họ và niềm tin của cộng đồng. Nhìn chung, những người sử dụng YHDG là những người có niềm tin vào hiệu quả chữa bệnh của nó; hoặc tìm đến nó khi các phương pháp chữa bệnh khác không có hiệu quả; hoặc sử dụng nó như một liệu pháp kết hợp với các phương pháp chữa khác, chẳng hạn như những người mắc bệnh nan y mà y học hiện đại không chữa được.</w:t>
      </w:r>
      <w:r w:rsidRPr="00B47DCC" w:rsidDel="00C5181F">
        <w:rPr>
          <w:sz w:val="28"/>
          <w:szCs w:val="28"/>
          <w:lang w:val="vi-VN"/>
        </w:rPr>
        <w:t xml:space="preserve"> </w:t>
      </w:r>
      <w:r w:rsidRPr="00B47DCC">
        <w:rPr>
          <w:sz w:val="28"/>
          <w:szCs w:val="28"/>
          <w:lang w:val="vi-VN"/>
        </w:rPr>
        <w:t>Ngày nay, YHDG đang được đưa vào hệ thống y tế quan phương ở nhiều nơi nhằm nâng cao hơn hiệu quả điều trị và tạo dựng bản sắc y học quốc gia.</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 xml:space="preserve">Việt Nam có một nền YHDG lâu đời gắn liền với kinh tế nông nghiệp và văn hóa phương đông. </w:t>
      </w:r>
      <w:r w:rsidRPr="00B47DCC">
        <w:rPr>
          <w:sz w:val="28"/>
          <w:szCs w:val="28"/>
        </w:rPr>
        <w:t>Ở</w:t>
      </w:r>
      <w:r w:rsidRPr="00B47DCC">
        <w:rPr>
          <w:sz w:val="28"/>
          <w:szCs w:val="28"/>
          <w:lang w:val="vi-VN"/>
        </w:rPr>
        <w:t xml:space="preserve"> miền Bắc</w:t>
      </w:r>
      <w:r w:rsidRPr="00B47DCC">
        <w:rPr>
          <w:sz w:val="28"/>
          <w:szCs w:val="28"/>
        </w:rPr>
        <w:t>,</w:t>
      </w:r>
      <w:r w:rsidRPr="00B47DCC">
        <w:rPr>
          <w:sz w:val="28"/>
          <w:szCs w:val="28"/>
          <w:lang w:val="vi-VN"/>
        </w:rPr>
        <w:t xml:space="preserve"> </w:t>
      </w:r>
      <w:r w:rsidRPr="00B47DCC">
        <w:rPr>
          <w:sz w:val="28"/>
          <w:szCs w:val="28"/>
        </w:rPr>
        <w:t xml:space="preserve">một số </w:t>
      </w:r>
      <w:r w:rsidRPr="00B47DCC">
        <w:rPr>
          <w:sz w:val="28"/>
          <w:szCs w:val="28"/>
          <w:lang w:val="vi-VN"/>
        </w:rPr>
        <w:t xml:space="preserve">làng làm thuốc </w:t>
      </w:r>
      <w:r w:rsidRPr="00B47DCC">
        <w:rPr>
          <w:sz w:val="28"/>
          <w:szCs w:val="28"/>
        </w:rPr>
        <w:t xml:space="preserve">đã có </w:t>
      </w:r>
      <w:r w:rsidRPr="00B47DCC">
        <w:rPr>
          <w:sz w:val="28"/>
          <w:szCs w:val="28"/>
          <w:lang w:val="vi-VN"/>
        </w:rPr>
        <w:t>lịch sử gần nghìn năm thực hành nghề này, ví dụ như làng Phù Ninh (xưa thuộc Bắc Ninh)</w:t>
      </w:r>
      <w:r w:rsidRPr="00B47DCC">
        <w:rPr>
          <w:sz w:val="28"/>
          <w:szCs w:val="28"/>
        </w:rPr>
        <w:t>, v</w:t>
      </w:r>
      <w:r w:rsidRPr="00B47DCC">
        <w:rPr>
          <w:sz w:val="28"/>
          <w:szCs w:val="28"/>
          <w:lang w:val="vi-VN"/>
        </w:rPr>
        <w:t xml:space="preserve">à cho đến gần đây vẫn có những làng chuyên trồng cây thuốc Nam như làng Đại Yên (Hà Nội). Trong lịch sử, các thầy thuốc của nền YHDG Việt Nam là những người tự học hoặc có được tri thức từ người đi trước mà không qua trường lớp, nhiều người trong số đó được vua chúa trọng dụng, trở thành ngự y của các triều đại. Gần nhất có thể kể </w:t>
      </w:r>
      <w:r w:rsidRPr="00B47DCC">
        <w:rPr>
          <w:sz w:val="28"/>
          <w:szCs w:val="28"/>
          <w:lang w:val="vi-VN"/>
        </w:rPr>
        <w:lastRenderedPageBreak/>
        <w:t xml:space="preserve">đến các danh y như Thạch Duy Khiêm, Nguyễn Văn Ba, Nguyễn Tán, Nguyễn Khắc Hoạt..., còn xa hơn thì có thể kể đến Hải Thượng Lãn Ông. Tuệ Tĩnh, danh y thế kỷ XIV - người được suy tôn là một trong các tổ sư của nền y học Việt Nam - đã từng đưa ra khẩu hiệu rất nổi tiếng “Nam dược trị Nam nhân” (thuốc Nam chữa bệnh cho người Nam), cho thấy đánh giá cao của ông đối với nền y học dân tộc. YHDG tồn tại chủ yếu bằng con đường truyền miệng song một số bài thuốc cũng đã được ghi lại, như trong </w:t>
      </w:r>
      <w:r w:rsidRPr="00B47DCC">
        <w:rPr>
          <w:i/>
          <w:iCs/>
          <w:sz w:val="28"/>
          <w:szCs w:val="28"/>
          <w:lang w:val="vi-VN"/>
        </w:rPr>
        <w:t>Nam dược thần hiệu</w:t>
      </w:r>
      <w:r w:rsidRPr="00B47DCC">
        <w:rPr>
          <w:sz w:val="28"/>
          <w:szCs w:val="28"/>
          <w:lang w:val="vi-VN"/>
        </w:rPr>
        <w:t>,</w:t>
      </w:r>
      <w:r w:rsidRPr="00B47DCC">
        <w:rPr>
          <w:i/>
          <w:iCs/>
          <w:sz w:val="28"/>
          <w:szCs w:val="28"/>
          <w:lang w:val="vi-VN"/>
        </w:rPr>
        <w:t xml:space="preserve"> Nam dược chỉ danh truyền</w:t>
      </w:r>
      <w:r w:rsidRPr="00B47DCC">
        <w:rPr>
          <w:sz w:val="28"/>
          <w:szCs w:val="28"/>
          <w:lang w:val="vi-VN"/>
        </w:rPr>
        <w:t>,</w:t>
      </w:r>
      <w:r w:rsidRPr="00B47DCC">
        <w:rPr>
          <w:i/>
          <w:iCs/>
          <w:sz w:val="28"/>
          <w:szCs w:val="28"/>
          <w:lang w:val="vi-VN"/>
        </w:rPr>
        <w:t xml:space="preserve"> Tiểu nhi khoa diễn quốc âm</w:t>
      </w:r>
      <w:r w:rsidRPr="00B47DCC">
        <w:rPr>
          <w:sz w:val="28"/>
          <w:szCs w:val="28"/>
          <w:lang w:val="vi-VN"/>
        </w:rPr>
        <w:t>…</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 xml:space="preserve">YHDG chữa bệnh chủ yếu dựa trên nguyên lý </w:t>
      </w:r>
      <w:r w:rsidRPr="00B47DCC">
        <w:rPr>
          <w:sz w:val="28"/>
          <w:szCs w:val="28"/>
        </w:rPr>
        <w:t>“</w:t>
      </w:r>
      <w:r w:rsidRPr="00B47DCC">
        <w:rPr>
          <w:sz w:val="28"/>
          <w:szCs w:val="28"/>
          <w:lang w:val="vi-VN"/>
        </w:rPr>
        <w:t>âm dương ngũ hành</w:t>
      </w:r>
      <w:r w:rsidRPr="00B47DCC">
        <w:rPr>
          <w:sz w:val="28"/>
          <w:szCs w:val="28"/>
        </w:rPr>
        <w:t>”</w:t>
      </w:r>
      <w:r w:rsidRPr="00B47DCC">
        <w:rPr>
          <w:sz w:val="28"/>
          <w:szCs w:val="28"/>
          <w:lang w:val="vi-VN"/>
        </w:rPr>
        <w:t xml:space="preserve">. Dương (nhiệt) và âm (hàn) phân chia nhỏ ở các bộ phận tương ứng trong cơ thể (lục phủ, ngũ tạng) và ngoài cơ thể (chân, tay, lưng, da…). Ngũ tạng trong cơ thể (gan, tim, lá lách, phổi, thận) ứng với ngũ hành (gan tương ứng với mộc, tim tương ứng với hỏa, lá lách tương ứng với thổ, phổi tương ứng với kim, thận tương ứng với thủy). Sức khỏe thể chất phụ thuộc vào sự cân bằng âm dương tức là cân bằng ở các cặp đối lập tương ứng với các bộ phận của cơ thể và sự cân bằng tuần hoàn tương sinh tương khắc của ngũ hành ứng với ngũ tạng. Nếu sự cân bằng bị phá vỡ, cơ thể người sẽ yếu và sinh bệnh. Việc chữa bệnh </w:t>
      </w:r>
      <w:r w:rsidRPr="00B47DCC">
        <w:rPr>
          <w:sz w:val="28"/>
          <w:szCs w:val="28"/>
        </w:rPr>
        <w:t xml:space="preserve">bằng </w:t>
      </w:r>
      <w:r w:rsidRPr="00B47DCC">
        <w:rPr>
          <w:sz w:val="28"/>
          <w:szCs w:val="28"/>
          <w:lang w:val="vi-VN"/>
        </w:rPr>
        <w:t>bốc thuốc</w:t>
      </w:r>
      <w:r w:rsidRPr="00B47DCC">
        <w:rPr>
          <w:sz w:val="28"/>
          <w:szCs w:val="28"/>
        </w:rPr>
        <w:t xml:space="preserve"> là</w:t>
      </w:r>
      <w:r w:rsidRPr="00B47DCC">
        <w:rPr>
          <w:sz w:val="28"/>
          <w:szCs w:val="28"/>
          <w:lang w:val="vi-VN"/>
        </w:rPr>
        <w:t xml:space="preserve"> để cân bằng lại âm dương ngũ hành, giúp cơ thể người bệnh khỏe mạnh trở lại. YHDG quan niệm rằng cách chữa bệnh này là chữa gốc, thích hợp với những bệnh mãn tính, còn y học hiện đại thì mạnh về chữa ngọn (chữa triệu chứng), thích hợp với những loại bệnh cấp tính.</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YHDG Việt Nam sử dụng các nguyên liệu quen thuộc trong môi trường tự nhiên như cây cỏ, động vật, khoáng vật… Tuy nhiên, nổi trội vẫn là cây cỏ. Việc sử dụng động vật (ví dụ như nhộng, nhện…) và khoáng vật không thực sự phổ biến. Về cách chế biến thuốc lá, người ta thường để nó ở dạng tươi hoặc sấy khô. Thuốc Nam cơ bản được dùng theo đường uống, nhưng cũng có không ít loại được dùng để xông, xoa đắp hoặc bôi ngoài da. Các bệnh mà YHDG Việt Nam hướng tới là những căn bệnh phổ thông như ho, cảm sốt, suy nhược, đau cột sống, tê mỏi tay chân, đầy bụng, trĩ, yết hầu, đậu mùa… Người ta thường dùng các bài thuốc dân gian để trị những bệnh thông thường này mà không cần phải qua sự thăm khám của thầy thuốc. Tuy nhiên, YHDG Việt Nam cũng có những bài thuốc giá trị cho những trường hợp đặc thù (chẳng hạn tai nạn) như “thuốc rắn cắn”, “thuốc chó dại”, “thuốc bó xương”… Các can thiệp cơ bản của YHDG đối với người bệnh là: chườm, xoa bóp, bấm huyệt, bó thuốc, ngâm thuốc, xông, chích, nắn khớp, rạch da, thực dưỡng trị liệu… YHDG không chỉ phát triển ở người Kinh mà còn phát triển ở nhiều dân tộc thiểu số của Việt Nam với các hình thức chế biến phong phú như sao vàng, hơ nóng, đốt thành than, nấu cao, ép lấy nước, chưng cất, ngâm rượu... Trong đó, người Dao đặc biệt nổi tiếng với các bài thuốc tắm sau sinh và thuốc chữa đau nhức xương khớp. Mặt khác, nhiều cây thuốc của người dân tộc thiểu số đang trở thành nguyên liệu cho những dược phẩm đương đại có giá trị, như cây chè dây của người Tày, cây gai chông của người Ch</w:t>
      </w:r>
      <w:r w:rsidRPr="00B47DCC">
        <w:rPr>
          <w:sz w:val="28"/>
          <w:szCs w:val="28"/>
        </w:rPr>
        <w:t>ăm</w:t>
      </w:r>
      <w:r w:rsidRPr="00B47DCC">
        <w:rPr>
          <w:sz w:val="28"/>
          <w:szCs w:val="28"/>
          <w:lang w:val="vi-VN"/>
        </w:rPr>
        <w:t>...</w:t>
      </w:r>
    </w:p>
    <w:p w:rsidR="00A8682E" w:rsidRPr="00B47DCC" w:rsidRDefault="00A8682E" w:rsidP="00A8682E">
      <w:pPr>
        <w:spacing w:after="0" w:line="240" w:lineRule="auto"/>
        <w:ind w:firstLine="810"/>
        <w:jc w:val="both"/>
        <w:rPr>
          <w:sz w:val="28"/>
          <w:szCs w:val="28"/>
        </w:rPr>
      </w:pPr>
      <w:r w:rsidRPr="00B47DCC">
        <w:rPr>
          <w:sz w:val="28"/>
          <w:szCs w:val="28"/>
        </w:rPr>
        <w:lastRenderedPageBreak/>
        <w:t xml:space="preserve">Ngoài ra, ở cả người Việt (Kinh) và các tộc người thiểu số còn có hình thức chữa bệnh bằng liệu pháp tinh thần thông qua thực hành nghi lễ của các ông bà đồng đối với các dạng “bệnh âm” (tương tự như bệnh tâm lý) như Lên đồng của người Việt (Kinh); nghi lễ Then của người Tày, Nùng, Thái; Mỡi của người Mường; Một của người Thái,… </w:t>
      </w:r>
    </w:p>
    <w:p w:rsidR="00A8682E" w:rsidRPr="00B47DCC" w:rsidRDefault="00A8682E" w:rsidP="00A8682E">
      <w:pPr>
        <w:spacing w:after="0" w:line="240" w:lineRule="auto"/>
        <w:ind w:firstLine="810"/>
        <w:jc w:val="both"/>
        <w:rPr>
          <w:sz w:val="28"/>
          <w:szCs w:val="28"/>
          <w:lang w:val="vi-VN"/>
        </w:rPr>
      </w:pPr>
      <w:r w:rsidRPr="00B47DCC">
        <w:rPr>
          <w:sz w:val="28"/>
          <w:szCs w:val="28"/>
          <w:lang w:val="vi-VN"/>
        </w:rPr>
        <w:t>Hiện nay, YHDG Việt Nam được chú ý sử dụng trong hệ thống y học chính thức (do những người được đào tạo chuyên nghiệp thực hiện) và thường được kết hợp với y học hiện đại để tăng hiệu quả điều trị. Những lĩnh vực đang được YHDG phát huy thế mạnh là thuốc an thần, thuốc hoạt huyết dưỡng não, thuốc tiêu hóa, thuốc xương khớp… do kết quả điều trị được duy trì lâu dài và ít xuất hiện tác dụng phụ.</w:t>
      </w:r>
    </w:p>
    <w:p w:rsidR="00A8682E" w:rsidRPr="0074477C" w:rsidRDefault="00A8682E" w:rsidP="00A8682E">
      <w:pPr>
        <w:spacing w:after="0" w:line="240" w:lineRule="auto"/>
        <w:ind w:firstLine="810"/>
        <w:jc w:val="right"/>
        <w:rPr>
          <w:b/>
          <w:bCs/>
          <w:szCs w:val="24"/>
          <w:lang w:val="vi-VN"/>
        </w:rPr>
      </w:pPr>
      <w:r w:rsidRPr="0074477C">
        <w:rPr>
          <w:b/>
          <w:bCs/>
          <w:szCs w:val="24"/>
          <w:lang w:val="vi-VN"/>
        </w:rPr>
        <w:t>NGUYỄN GIÁO</w:t>
      </w:r>
    </w:p>
    <w:p w:rsidR="00A8682E" w:rsidRPr="0074477C" w:rsidRDefault="00A8682E" w:rsidP="00A8682E">
      <w:pPr>
        <w:spacing w:after="0" w:line="240" w:lineRule="auto"/>
        <w:jc w:val="both"/>
        <w:rPr>
          <w:b/>
          <w:bCs/>
          <w:szCs w:val="24"/>
          <w:lang w:val="vi-VN"/>
        </w:rPr>
      </w:pPr>
      <w:r w:rsidRPr="0074477C">
        <w:rPr>
          <w:b/>
          <w:bCs/>
          <w:szCs w:val="24"/>
          <w:lang w:val="vi-VN"/>
        </w:rPr>
        <w:t>Tài liệu tham khảo:</w:t>
      </w:r>
    </w:p>
    <w:p w:rsidR="00A8682E" w:rsidRPr="0074477C" w:rsidRDefault="00A8682E" w:rsidP="00A8682E">
      <w:pPr>
        <w:pStyle w:val="ListParagraph"/>
        <w:numPr>
          <w:ilvl w:val="0"/>
          <w:numId w:val="1"/>
        </w:numPr>
        <w:spacing w:after="0" w:line="240" w:lineRule="auto"/>
        <w:ind w:left="357" w:hanging="357"/>
        <w:contextualSpacing w:val="0"/>
        <w:jc w:val="both"/>
        <w:rPr>
          <w:szCs w:val="24"/>
          <w:lang w:val="vi-VN"/>
        </w:rPr>
      </w:pPr>
      <w:r w:rsidRPr="0074477C">
        <w:rPr>
          <w:szCs w:val="24"/>
          <w:lang w:val="vi-VN"/>
        </w:rPr>
        <w:t xml:space="preserve">Trương Chí Hóa, </w:t>
      </w:r>
      <w:r w:rsidRPr="0074477C">
        <w:rPr>
          <w:i/>
          <w:iCs/>
          <w:szCs w:val="24"/>
          <w:lang w:val="vi-VN"/>
        </w:rPr>
        <w:t>Tự trị bệnh bằng y học dân gian</w:t>
      </w:r>
      <w:r w:rsidRPr="0074477C">
        <w:rPr>
          <w:szCs w:val="24"/>
          <w:lang w:val="vi-VN"/>
        </w:rPr>
        <w:t>, Nxb. Phụ nữ,</w:t>
      </w:r>
      <w:r w:rsidRPr="0074477C">
        <w:rPr>
          <w:szCs w:val="24"/>
        </w:rPr>
        <w:t xml:space="preserve"> Hà Nội,</w:t>
      </w:r>
      <w:r w:rsidRPr="0074477C">
        <w:rPr>
          <w:szCs w:val="24"/>
          <w:lang w:val="vi-VN"/>
        </w:rPr>
        <w:t xml:space="preserve"> 1997.</w:t>
      </w:r>
    </w:p>
    <w:p w:rsidR="00A8682E" w:rsidRPr="0074477C" w:rsidRDefault="00A8682E" w:rsidP="00A8682E">
      <w:pPr>
        <w:pStyle w:val="ListParagraph"/>
        <w:numPr>
          <w:ilvl w:val="0"/>
          <w:numId w:val="1"/>
        </w:numPr>
        <w:spacing w:after="0" w:line="240" w:lineRule="auto"/>
        <w:ind w:left="357" w:hanging="357"/>
        <w:contextualSpacing w:val="0"/>
        <w:jc w:val="both"/>
        <w:rPr>
          <w:szCs w:val="24"/>
          <w:lang w:val="vi-VN"/>
        </w:rPr>
      </w:pPr>
      <w:r w:rsidRPr="0074477C">
        <w:rPr>
          <w:szCs w:val="24"/>
          <w:lang w:val="vi-VN"/>
        </w:rPr>
        <w:t xml:space="preserve">Đỗ Văn Sơn, </w:t>
      </w:r>
      <w:r w:rsidRPr="0074477C">
        <w:rPr>
          <w:i/>
          <w:iCs/>
          <w:szCs w:val="24"/>
          <w:lang w:val="vi-VN"/>
        </w:rPr>
        <w:t>Cẩm nang thầy thuốc trong mỗi gia đình: Phòng và chữa bệnh bằng y học dân gian</w:t>
      </w:r>
      <w:r w:rsidRPr="0074477C">
        <w:rPr>
          <w:szCs w:val="24"/>
          <w:lang w:val="vi-VN"/>
        </w:rPr>
        <w:t>, Nxb. T</w:t>
      </w:r>
      <w:r w:rsidRPr="0074477C">
        <w:rPr>
          <w:szCs w:val="24"/>
        </w:rPr>
        <w:t>hành phố</w:t>
      </w:r>
      <w:r w:rsidRPr="0074477C">
        <w:rPr>
          <w:szCs w:val="24"/>
          <w:lang w:val="vi-VN"/>
        </w:rPr>
        <w:t xml:space="preserve"> Hồ Chí Minh, Tp. Hồ Chí Minh, 1997.</w:t>
      </w:r>
    </w:p>
    <w:p w:rsidR="00A8682E" w:rsidRPr="0074477C" w:rsidRDefault="00A8682E" w:rsidP="00A8682E">
      <w:pPr>
        <w:pStyle w:val="ListParagraph"/>
        <w:numPr>
          <w:ilvl w:val="0"/>
          <w:numId w:val="1"/>
        </w:numPr>
        <w:spacing w:after="0" w:line="240" w:lineRule="auto"/>
        <w:ind w:left="357" w:hanging="357"/>
        <w:contextualSpacing w:val="0"/>
        <w:jc w:val="both"/>
        <w:rPr>
          <w:szCs w:val="24"/>
          <w:lang w:val="vi-VN"/>
        </w:rPr>
      </w:pPr>
      <w:r w:rsidRPr="0074477C">
        <w:rPr>
          <w:szCs w:val="24"/>
          <w:lang w:val="vi-VN"/>
        </w:rPr>
        <w:t xml:space="preserve">Trần Nam Hưng, </w:t>
      </w:r>
      <w:r w:rsidRPr="0074477C">
        <w:rPr>
          <w:i/>
          <w:iCs/>
          <w:szCs w:val="24"/>
          <w:lang w:val="vi-VN"/>
        </w:rPr>
        <w:t>Y học dân gian: Trị bệnh tại nhà</w:t>
      </w:r>
      <w:r w:rsidRPr="0074477C">
        <w:rPr>
          <w:szCs w:val="24"/>
          <w:lang w:val="vi-VN"/>
        </w:rPr>
        <w:t>, Nxb. Tổng hợp Đồng Tháp, Bến Tre, 1998.</w:t>
      </w:r>
    </w:p>
    <w:p w:rsidR="00A8682E" w:rsidRPr="0074477C" w:rsidRDefault="00A8682E" w:rsidP="00A8682E">
      <w:pPr>
        <w:pStyle w:val="ListParagraph"/>
        <w:numPr>
          <w:ilvl w:val="0"/>
          <w:numId w:val="1"/>
        </w:numPr>
        <w:spacing w:after="0" w:line="240" w:lineRule="auto"/>
        <w:ind w:left="357" w:hanging="357"/>
        <w:contextualSpacing w:val="0"/>
        <w:jc w:val="both"/>
        <w:rPr>
          <w:szCs w:val="24"/>
          <w:lang w:val="vi-VN"/>
        </w:rPr>
      </w:pPr>
      <w:r w:rsidRPr="0074477C">
        <w:rPr>
          <w:szCs w:val="24"/>
          <w:lang w:val="vi-VN"/>
        </w:rPr>
        <w:t xml:space="preserve">Phan Kế Bính, </w:t>
      </w:r>
      <w:r w:rsidRPr="0074477C">
        <w:rPr>
          <w:i/>
          <w:iCs/>
          <w:szCs w:val="24"/>
          <w:lang w:val="vi-VN"/>
        </w:rPr>
        <w:t>Việt Nam phong tục</w:t>
      </w:r>
      <w:r w:rsidRPr="0074477C">
        <w:rPr>
          <w:szCs w:val="24"/>
          <w:lang w:val="vi-VN"/>
        </w:rPr>
        <w:t>, Nxb. Hà Nội, Hà Nội, 1999.</w:t>
      </w:r>
    </w:p>
    <w:p w:rsidR="00A8682E" w:rsidRPr="0074477C" w:rsidRDefault="00A8682E" w:rsidP="00A8682E">
      <w:pPr>
        <w:pStyle w:val="ListParagraph"/>
        <w:numPr>
          <w:ilvl w:val="0"/>
          <w:numId w:val="1"/>
        </w:numPr>
        <w:spacing w:after="0" w:line="240" w:lineRule="auto"/>
        <w:ind w:left="357" w:hanging="357"/>
        <w:contextualSpacing w:val="0"/>
        <w:jc w:val="both"/>
        <w:rPr>
          <w:szCs w:val="24"/>
          <w:lang w:val="vi-VN"/>
        </w:rPr>
      </w:pPr>
      <w:r w:rsidRPr="0074477C">
        <w:rPr>
          <w:szCs w:val="24"/>
          <w:lang w:val="vi-VN"/>
        </w:rPr>
        <w:t xml:space="preserve">Nguyễn Quốc Triệu, Phạm Song (đồng trưởng ban chỉ đạo biên soạn), </w:t>
      </w:r>
      <w:r w:rsidRPr="0074477C">
        <w:rPr>
          <w:i/>
          <w:iCs/>
          <w:szCs w:val="24"/>
          <w:lang w:val="vi-VN"/>
        </w:rPr>
        <w:t>Từ điển bách khoa y học Việt Nam</w:t>
      </w:r>
      <w:r w:rsidRPr="0074477C">
        <w:rPr>
          <w:szCs w:val="24"/>
          <w:lang w:val="vi-VN"/>
        </w:rPr>
        <w:t>, Nxb. Y học, Hà Nội, 2011.</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F469F"/>
    <w:multiLevelType w:val="hybridMultilevel"/>
    <w:tmpl w:val="138A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2E"/>
    <w:rsid w:val="00027476"/>
    <w:rsid w:val="001B47C4"/>
    <w:rsid w:val="00A8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87FB5-7B8E-4899-90A1-F0C66A57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E"/>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682E"/>
    <w:pPr>
      <w:ind w:left="720"/>
      <w:contextualSpacing/>
    </w:pPr>
  </w:style>
  <w:style w:type="character" w:customStyle="1" w:styleId="ListParagraphChar">
    <w:name w:val="List Paragraph Char"/>
    <w:link w:val="ListParagraph"/>
    <w:uiPriority w:val="34"/>
    <w:locked/>
    <w:rsid w:val="00A8682E"/>
    <w:rPr>
      <w:rFonts w:ascii="Times New Roman" w:eastAsia="MS Mincho" w:hAnsi="Times New Roman" w:cs="Times New Roman"/>
      <w:sz w:val="24"/>
    </w:rPr>
  </w:style>
  <w:style w:type="paragraph" w:customStyle="1" w:styleId="BKT1">
    <w:name w:val="BKT1"/>
    <w:basedOn w:val="Normal"/>
    <w:link w:val="BKT1Char"/>
    <w:qFormat/>
    <w:rsid w:val="00A8682E"/>
    <w:pPr>
      <w:spacing w:after="0" w:line="240" w:lineRule="auto"/>
      <w:jc w:val="both"/>
      <w:outlineLvl w:val="0"/>
    </w:pPr>
    <w:rPr>
      <w:rFonts w:eastAsia="Times New Roman"/>
      <w:b/>
      <w:kern w:val="28"/>
      <w:szCs w:val="24"/>
    </w:rPr>
  </w:style>
  <w:style w:type="character" w:customStyle="1" w:styleId="BKT1Char">
    <w:name w:val="BKT1 Char"/>
    <w:link w:val="BKT1"/>
    <w:rsid w:val="00A8682E"/>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2025-12-13T09:19:00Z</dcterms:created>
  <dcterms:modified xsi:type="dcterms:W3CDTF">2025-12-13T09:19:00Z</dcterms:modified>
</cp:coreProperties>
</file>